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8FF1A" w14:textId="49F36FA7" w:rsidR="004C46F1" w:rsidRDefault="004C46F1">
      <w:pPr>
        <w:pStyle w:val="Textoindependiente"/>
        <w:spacing w:after="160" w:line="331" w:lineRule="auto"/>
        <w:jc w:val="center"/>
        <w:rPr>
          <w:rFonts w:ascii="Libre Franklin;sans-serif" w:hAnsi="Libre Franklin;sans-serif"/>
          <w:b/>
          <w:bCs/>
          <w:color w:val="000000"/>
          <w:sz w:val="28"/>
        </w:rPr>
      </w:pPr>
      <w:r>
        <w:rPr>
          <w:rFonts w:ascii="Libre Franklin;sans-serif" w:hAnsi="Libre Franklin;sans-serif"/>
          <w:b/>
          <w:bCs/>
          <w:noProof/>
          <w:color w:val="000000"/>
          <w:sz w:val="28"/>
        </w:rPr>
        <w:drawing>
          <wp:anchor distT="0" distB="0" distL="114300" distR="114300" simplePos="0" relativeHeight="251658240" behindDoc="0" locked="0" layoutInCell="1" allowOverlap="1" wp14:anchorId="5FC24E02" wp14:editId="2F6C70A6">
            <wp:simplePos x="0" y="0"/>
            <wp:positionH relativeFrom="column">
              <wp:posOffset>111760</wp:posOffset>
            </wp:positionH>
            <wp:positionV relativeFrom="paragraph">
              <wp:posOffset>179070</wp:posOffset>
            </wp:positionV>
            <wp:extent cx="982327" cy="950976"/>
            <wp:effectExtent l="0" t="0" r="8890" b="1905"/>
            <wp:wrapSquare wrapText="bothSides"/>
            <wp:docPr id="1628236992"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236992" name="Imagen 1" descr="Logotipo, nombre de la empresa&#10;&#10;Descripción generada automá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982327" cy="950976"/>
                    </a:xfrm>
                    <a:prstGeom prst="rect">
                      <a:avLst/>
                    </a:prstGeom>
                  </pic:spPr>
                </pic:pic>
              </a:graphicData>
            </a:graphic>
          </wp:anchor>
        </w:drawing>
      </w:r>
    </w:p>
    <w:p w14:paraId="74F9C01E" w14:textId="5AD574EC" w:rsidR="003B1B16" w:rsidRPr="004C46F1" w:rsidRDefault="00881F84">
      <w:pPr>
        <w:pStyle w:val="Textoindependiente"/>
        <w:spacing w:after="160" w:line="331" w:lineRule="auto"/>
        <w:jc w:val="center"/>
        <w:rPr>
          <w:rFonts w:hint="eastAsia"/>
          <w:b/>
          <w:bCs/>
          <w:sz w:val="32"/>
          <w:szCs w:val="32"/>
        </w:rPr>
      </w:pPr>
      <w:r w:rsidRPr="004C46F1">
        <w:rPr>
          <w:rFonts w:ascii="Libre Franklin;sans-serif" w:hAnsi="Libre Franklin;sans-serif"/>
          <w:b/>
          <w:bCs/>
          <w:color w:val="000000"/>
          <w:sz w:val="32"/>
          <w:szCs w:val="32"/>
        </w:rPr>
        <w:t xml:space="preserve">Se presenta la primera querella </w:t>
      </w:r>
      <w:r w:rsidR="00B052F6" w:rsidRPr="004C46F1">
        <w:rPr>
          <w:rFonts w:ascii="Libre Franklin;sans-serif" w:hAnsi="Libre Franklin;sans-serif"/>
          <w:b/>
          <w:bCs/>
          <w:color w:val="000000"/>
          <w:sz w:val="32"/>
          <w:szCs w:val="32"/>
        </w:rPr>
        <w:t xml:space="preserve">en el Estado español </w:t>
      </w:r>
      <w:r w:rsidRPr="004C46F1">
        <w:rPr>
          <w:rFonts w:ascii="Libre Franklin;sans-serif" w:hAnsi="Libre Franklin;sans-serif"/>
          <w:b/>
          <w:bCs/>
          <w:color w:val="000000"/>
          <w:sz w:val="32"/>
          <w:szCs w:val="32"/>
        </w:rPr>
        <w:t>por el ‘robo de bebés’ durante el franquismo</w:t>
      </w:r>
    </w:p>
    <w:p w14:paraId="2C4C3849" w14:textId="77777777" w:rsidR="003B1B16" w:rsidRDefault="003B1B16">
      <w:pPr>
        <w:pStyle w:val="Textoindependiente"/>
      </w:pPr>
    </w:p>
    <w:p w14:paraId="6D1214DB" w14:textId="77777777" w:rsidR="004C46F1" w:rsidRDefault="004C46F1">
      <w:pPr>
        <w:pStyle w:val="Textoindependiente"/>
        <w:spacing w:after="0" w:line="331" w:lineRule="auto"/>
        <w:rPr>
          <w:rFonts w:ascii="Libre Franklin;sans-serif" w:hAnsi="Libre Franklin;sans-serif"/>
          <w:color w:val="000000"/>
        </w:rPr>
      </w:pPr>
    </w:p>
    <w:p w14:paraId="031805E4" w14:textId="301692FF" w:rsidR="003B1B16" w:rsidRDefault="00881F84">
      <w:pPr>
        <w:pStyle w:val="Textoindependiente"/>
        <w:spacing w:after="0" w:line="331" w:lineRule="auto"/>
        <w:rPr>
          <w:rFonts w:hint="eastAsia"/>
        </w:rPr>
      </w:pPr>
      <w:r>
        <w:rPr>
          <w:rFonts w:ascii="Libre Franklin;sans-serif" w:hAnsi="Libre Franklin;sans-serif"/>
          <w:color w:val="000000"/>
        </w:rPr>
        <w:t xml:space="preserve">El 23 de febrero se ha presentado ante los juzgados de Instrucción de Alicante la </w:t>
      </w:r>
      <w:r>
        <w:rPr>
          <w:rFonts w:ascii="Libre Franklin;sans-serif" w:hAnsi="Libre Franklin;sans-serif"/>
          <w:b/>
          <w:color w:val="000000"/>
        </w:rPr>
        <w:t xml:space="preserve">primera </w:t>
      </w:r>
      <w:proofErr w:type="gramStart"/>
      <w:r>
        <w:rPr>
          <w:rFonts w:ascii="Libre Franklin;sans-serif" w:hAnsi="Libre Franklin;sans-serif"/>
          <w:b/>
          <w:color w:val="000000"/>
        </w:rPr>
        <w:t>querella criminal</w:t>
      </w:r>
      <w:proofErr w:type="gramEnd"/>
      <w:r>
        <w:rPr>
          <w:rFonts w:ascii="Libre Franklin;sans-serif" w:hAnsi="Libre Franklin;sans-serif"/>
          <w:b/>
          <w:color w:val="000000"/>
        </w:rPr>
        <w:t xml:space="preserve"> por delitos de detención ilegal, secuestro con desaparición, falsedad, crimen de desaparición forzada, todo ello en un contexto de crímenes contra la humanidad, </w:t>
      </w:r>
      <w:r>
        <w:rPr>
          <w:rFonts w:ascii="Libre Franklin;sans-serif" w:hAnsi="Libre Franklin;sans-serif"/>
          <w:color w:val="000000"/>
        </w:rPr>
        <w:t>interpuesta por María José Picó debido a la desaparición de su hermana melliza en marzo de 1962 en el Hospital General de Alicante.</w:t>
      </w:r>
    </w:p>
    <w:p w14:paraId="4BA6A63D" w14:textId="77777777" w:rsidR="003B1B16" w:rsidRDefault="003B1B16">
      <w:pPr>
        <w:pStyle w:val="Textoindependiente"/>
        <w:rPr>
          <w:rFonts w:hint="eastAsia"/>
        </w:rPr>
      </w:pPr>
    </w:p>
    <w:p w14:paraId="534444A8" w14:textId="77777777" w:rsidR="003B1B16" w:rsidRDefault="00881F84">
      <w:pPr>
        <w:pStyle w:val="Textoindependiente"/>
        <w:spacing w:after="0" w:line="331" w:lineRule="auto"/>
        <w:rPr>
          <w:rFonts w:ascii="Libre Franklin;sans-serif" w:hAnsi="Libre Franklin;sans-serif" w:hint="eastAsia"/>
          <w:color w:val="000000"/>
        </w:rPr>
      </w:pPr>
      <w:r>
        <w:rPr>
          <w:rFonts w:ascii="Libre Franklin;sans-serif" w:hAnsi="Libre Franklin;sans-serif"/>
          <w:color w:val="000000"/>
        </w:rPr>
        <w:t>Los padres nunca vieron el cuerpo de la niña supuestamente fallecida. En 2012 y 2013, dentro de la investigación realizada por la Fiscalía de Alicante, se realizaron sendas exhumaciones y en ninguna de las dos ocasiones se encontraron restos que, una vez realizados los análisis de ADN, tuvieran coincidencia genética con la familia. A pesar de esta evidencia, el caso fue archivado.</w:t>
      </w:r>
    </w:p>
    <w:p w14:paraId="7D0AD158" w14:textId="77777777" w:rsidR="003B1B16" w:rsidRDefault="003B1B16">
      <w:pPr>
        <w:pStyle w:val="Textoindependiente"/>
        <w:rPr>
          <w:rFonts w:hint="eastAsia"/>
        </w:rPr>
      </w:pPr>
    </w:p>
    <w:p w14:paraId="230E27E3" w14:textId="02E5E101" w:rsidR="003B1B16" w:rsidRPr="00B052F6" w:rsidRDefault="00881F84">
      <w:pPr>
        <w:pStyle w:val="Textoindependiente"/>
        <w:spacing w:after="0" w:line="331" w:lineRule="auto"/>
        <w:jc w:val="both"/>
        <w:rPr>
          <w:rFonts w:ascii="Libre Franklin;sans-serif" w:hAnsi="Libre Franklin;sans-serif" w:hint="eastAsia"/>
          <w:color w:val="000000"/>
        </w:rPr>
      </w:pPr>
      <w:r w:rsidRPr="00B052F6">
        <w:rPr>
          <w:rFonts w:ascii="Libre Franklin;sans-serif" w:hAnsi="Libre Franklin;sans-serif"/>
        </w:rPr>
        <w:t>El crimen que es objeto de denuncia se contextualiza en el ‘robo de bebés’ que se perpetró</w:t>
      </w:r>
      <w:r w:rsidRPr="00B052F6">
        <w:t xml:space="preserve"> </w:t>
      </w:r>
      <w:r w:rsidRPr="00B052F6">
        <w:rPr>
          <w:rFonts w:ascii="Libre Franklin;sans-serif" w:hAnsi="Libre Franklin;sans-serif"/>
        </w:rPr>
        <w:t>durante toda</w:t>
      </w:r>
      <w:r w:rsidRPr="00B052F6">
        <w:t xml:space="preserve"> </w:t>
      </w:r>
      <w:r w:rsidRPr="00B052F6">
        <w:rPr>
          <w:rFonts w:ascii="Libre Franklin;sans-serif" w:hAnsi="Libre Franklin;sans-serif"/>
        </w:rPr>
        <w:t>la dictadura franquista. En concreto, en la época en que desaparece la melliza de la querellante, los bebés desaparecían de los centros hospitalarios a los que iban las embarazadas, a quienes se les decía que su hija o hijo había muerto. La ideología</w:t>
      </w:r>
      <w:r w:rsidRPr="00B052F6">
        <w:rPr>
          <w:rFonts w:ascii="Libre Franklin;sans-serif" w:hAnsi="Libre Franklin;sans-serif"/>
          <w:color w:val="000000"/>
        </w:rPr>
        <w:t xml:space="preserve"> nacionalcatólica de regeneración del espíritu nacional justificaba estos hechos para reubicar a los bebés en “familias de bien”. Decenas de miles de mujeres, sin derechos ni libertades, convertida la maternidad en su destino por el nacionalcatolicismo, vieron desaparecer sus bebes poco </w:t>
      </w:r>
      <w:r w:rsidR="00B052F6" w:rsidRPr="00B052F6">
        <w:rPr>
          <w:rFonts w:ascii="Libre Franklin;sans-serif" w:hAnsi="Libre Franklin;sans-serif"/>
          <w:color w:val="000000"/>
        </w:rPr>
        <w:t>después</w:t>
      </w:r>
      <w:r w:rsidRPr="00B052F6">
        <w:rPr>
          <w:rFonts w:ascii="Libre Franklin;sans-serif" w:hAnsi="Libre Franklin;sans-serif"/>
          <w:color w:val="000000"/>
        </w:rPr>
        <w:t xml:space="preserve"> de darlos a luz. </w:t>
      </w:r>
    </w:p>
    <w:p w14:paraId="63452E25" w14:textId="77777777" w:rsidR="00B052F6" w:rsidRDefault="00B052F6">
      <w:pPr>
        <w:pStyle w:val="Textoindependiente"/>
        <w:spacing w:after="0" w:line="331" w:lineRule="auto"/>
        <w:jc w:val="both"/>
        <w:rPr>
          <w:rFonts w:hint="eastAsia"/>
        </w:rPr>
      </w:pPr>
    </w:p>
    <w:p w14:paraId="711D004F" w14:textId="568B26C5" w:rsidR="003B1B16" w:rsidRDefault="00881F84">
      <w:pPr>
        <w:pStyle w:val="Textoindependiente"/>
        <w:spacing w:after="0" w:line="331" w:lineRule="auto"/>
        <w:jc w:val="both"/>
        <w:rPr>
          <w:rFonts w:ascii="Libre Franklin;sans-serif" w:hAnsi="Libre Franklin;sans-serif" w:hint="eastAsia"/>
          <w:color w:val="000000"/>
        </w:rPr>
      </w:pPr>
      <w:r>
        <w:rPr>
          <w:rFonts w:ascii="Libre Franklin;sans-serif" w:hAnsi="Libre Franklin;sans-serif"/>
          <w:color w:val="000000"/>
        </w:rPr>
        <w:t>Ginecólogos, obstetras, enfermeras (religiosas o no), párrocos, funcionarios de distintos sectores y mujeres de la élite que regentaban pisos de jóvenes embarazadas son algunas de las figuras que se arrogaron el derecho de decidir qué familias era</w:t>
      </w:r>
      <w:r w:rsidR="00881C0E">
        <w:rPr>
          <w:rFonts w:ascii="Libre Franklin;sans-serif" w:hAnsi="Libre Franklin;sans-serif"/>
          <w:color w:val="000000"/>
        </w:rPr>
        <w:t>n</w:t>
      </w:r>
      <w:r>
        <w:rPr>
          <w:rFonts w:ascii="Libre Franklin;sans-serif" w:hAnsi="Libre Franklin;sans-serif"/>
          <w:color w:val="000000"/>
        </w:rPr>
        <w:t xml:space="preserve"> óptimas para criar bebés, sabiéndose impunemente protegidas por el silencio cómplice, el consentimiento, la aquiescencia y, al menos en algunos casos, la colaboración activa del Estado franquista, régimen criminal por excelencia. </w:t>
      </w:r>
    </w:p>
    <w:p w14:paraId="00A1D688" w14:textId="77777777" w:rsidR="003B1B16" w:rsidRDefault="003B1B16">
      <w:pPr>
        <w:pStyle w:val="Textoindependiente"/>
        <w:rPr>
          <w:rFonts w:hint="eastAsia"/>
        </w:rPr>
      </w:pPr>
    </w:p>
    <w:p w14:paraId="5BAFCE63" w14:textId="77777777" w:rsidR="003B1B16" w:rsidRDefault="00881F84">
      <w:pPr>
        <w:pStyle w:val="Textoindependiente"/>
        <w:spacing w:after="0" w:line="331" w:lineRule="auto"/>
        <w:jc w:val="both"/>
        <w:rPr>
          <w:rFonts w:ascii="Libre Franklin;sans-serif" w:hAnsi="Libre Franklin;sans-serif" w:hint="eastAsia"/>
          <w:color w:val="000000"/>
        </w:rPr>
      </w:pPr>
      <w:r>
        <w:rPr>
          <w:rFonts w:ascii="Libre Franklin;sans-serif" w:hAnsi="Libre Franklin;sans-serif"/>
          <w:color w:val="000000"/>
        </w:rPr>
        <w:t xml:space="preserve">La participación del Estado se produce, dependiendo del momento histórico, bien directamente bien mediante el consentimiento, la ocultación, apoyo y aquiescencia al posibilitar la </w:t>
      </w:r>
      <w:r>
        <w:rPr>
          <w:rFonts w:ascii="Libre Franklin;sans-serif" w:hAnsi="Libre Franklin;sans-serif"/>
          <w:color w:val="000000"/>
        </w:rPr>
        <w:lastRenderedPageBreak/>
        <w:t>continuidad haciendo caso omiso de los crímenes, lo cual se refleja en las escasísimas investigaciones de estos casos o, cuando las ha habido, en la ausencia de la debida diligencia.</w:t>
      </w:r>
    </w:p>
    <w:p w14:paraId="028D818A" w14:textId="77777777" w:rsidR="003B1B16" w:rsidRDefault="003B1B16">
      <w:pPr>
        <w:pStyle w:val="Textoindependiente"/>
        <w:rPr>
          <w:rFonts w:hint="eastAsia"/>
        </w:rPr>
      </w:pPr>
    </w:p>
    <w:p w14:paraId="09AF3459" w14:textId="77777777" w:rsidR="003B1B16" w:rsidRDefault="00881F84">
      <w:pPr>
        <w:pStyle w:val="Textoindependiente"/>
        <w:spacing w:after="0" w:line="331" w:lineRule="auto"/>
        <w:jc w:val="both"/>
        <w:rPr>
          <w:rFonts w:ascii="Libre Franklin;sans-serif" w:hAnsi="Libre Franklin;sans-serif" w:hint="eastAsia"/>
          <w:color w:val="000000"/>
        </w:rPr>
      </w:pPr>
      <w:r>
        <w:rPr>
          <w:rFonts w:ascii="Libre Franklin;sans-serif" w:hAnsi="Libre Franklin;sans-serif"/>
          <w:color w:val="000000"/>
        </w:rPr>
        <w:t>El Consejo de Derechos Humanos de Naciones Unidas ha reiterado en numerosas ocasiones al Estado español la necesidad de investigar de manera exhaustiva estos crímenes. El propio Parlamento Europeo emitió un Informe en noviembre de 2017 con 31 recomendaciones para hacer efectiva la labor que tiene que realizar el Estado español, una labor que todavía hoy está por hacer.</w:t>
      </w:r>
    </w:p>
    <w:p w14:paraId="2177EA11" w14:textId="77777777" w:rsidR="003B1B16" w:rsidRDefault="003B1B16">
      <w:pPr>
        <w:pStyle w:val="Textoindependiente"/>
        <w:rPr>
          <w:rFonts w:hint="eastAsia"/>
        </w:rPr>
      </w:pPr>
    </w:p>
    <w:p w14:paraId="105B4D56" w14:textId="2A42CF44" w:rsidR="003B1B16" w:rsidRDefault="004C46F1">
      <w:pPr>
        <w:pStyle w:val="Textoindependiente"/>
        <w:spacing w:after="0" w:line="331" w:lineRule="auto"/>
        <w:jc w:val="both"/>
        <w:rPr>
          <w:rFonts w:ascii="Libre Franklin;sans-serif" w:hAnsi="Libre Franklin;sans-serif" w:hint="eastAsia"/>
          <w:color w:val="000000"/>
        </w:rPr>
      </w:pPr>
      <w:r w:rsidRPr="004C46F1">
        <w:rPr>
          <w:rFonts w:ascii="Libre Franklin;sans-serif" w:hAnsi="Libre Franklin;sans-serif"/>
          <w:color w:val="000000"/>
          <w:highlight w:val="yellow"/>
        </w:rPr>
        <w:t xml:space="preserve">Hasta ahora, la Ley de Memoria Democrática, no ha facilitado la </w:t>
      </w:r>
      <w:r w:rsidRPr="004C46F1">
        <w:rPr>
          <w:rFonts w:ascii="Libre Franklin;sans-serif" w:hAnsi="Libre Franklin;sans-serif" w:hint="eastAsia"/>
          <w:color w:val="000000"/>
          <w:highlight w:val="yellow"/>
        </w:rPr>
        <w:t>apertura de las causas penales</w:t>
      </w:r>
      <w:r w:rsidRPr="004C46F1">
        <w:rPr>
          <w:rFonts w:ascii="Libre Franklin;sans-serif" w:hAnsi="Libre Franklin;sans-serif"/>
          <w:color w:val="000000"/>
          <w:highlight w:val="yellow"/>
        </w:rPr>
        <w:t xml:space="preserve"> de</w:t>
      </w:r>
      <w:r w:rsidRPr="004C46F1">
        <w:rPr>
          <w:rFonts w:ascii="Libre Franklin;sans-serif" w:hAnsi="Libre Franklin;sans-serif" w:hint="eastAsia"/>
          <w:color w:val="000000"/>
          <w:highlight w:val="yellow"/>
        </w:rPr>
        <w:t xml:space="preserve"> los criminales franquistas</w:t>
      </w:r>
      <w:r w:rsidRPr="004C46F1">
        <w:rPr>
          <w:rFonts w:ascii="Libre Franklin;sans-serif" w:hAnsi="Libre Franklin;sans-serif" w:hint="eastAsia"/>
          <w:color w:val="000000"/>
        </w:rPr>
        <w:t>.</w:t>
      </w:r>
      <w:r>
        <w:rPr>
          <w:rFonts w:ascii="Libre Franklin;sans-serif" w:hAnsi="Libre Franklin;sans-serif"/>
          <w:color w:val="000000"/>
        </w:rPr>
        <w:t xml:space="preserve"> </w:t>
      </w:r>
      <w:r w:rsidR="00881F84">
        <w:rPr>
          <w:rFonts w:ascii="Libre Franklin;sans-serif" w:hAnsi="Libre Franklin;sans-serif"/>
          <w:color w:val="000000"/>
        </w:rPr>
        <w:t>Nos encontramos ante crímenes de derecho internacional impunes, no investigados ni enjuiciados judicialmente en el Estado español, incumpliéndose de esta forma el mandato y las obligaciones internacionales que se han contraído al respecto.</w:t>
      </w:r>
    </w:p>
    <w:p w14:paraId="057C4F0B" w14:textId="77777777" w:rsidR="00C05901" w:rsidRDefault="00C05901">
      <w:pPr>
        <w:pStyle w:val="Textoindependiente"/>
        <w:spacing w:after="0" w:line="331" w:lineRule="auto"/>
        <w:jc w:val="both"/>
        <w:rPr>
          <w:rFonts w:ascii="Libre Franklin;sans-serif" w:hAnsi="Libre Franklin;sans-serif"/>
          <w:color w:val="000000"/>
        </w:rPr>
      </w:pPr>
    </w:p>
    <w:p w14:paraId="70AC79AF" w14:textId="00C0F4CF" w:rsidR="003B1B16" w:rsidRDefault="00881F84">
      <w:pPr>
        <w:pStyle w:val="Textoindependiente"/>
        <w:spacing w:after="0" w:line="331" w:lineRule="auto"/>
        <w:jc w:val="both"/>
        <w:rPr>
          <w:rFonts w:ascii="Libre Franklin;sans-serif" w:hAnsi="Libre Franklin;sans-serif" w:hint="eastAsia"/>
          <w:color w:val="000000"/>
        </w:rPr>
      </w:pPr>
      <w:r>
        <w:rPr>
          <w:rFonts w:ascii="Libre Franklin;sans-serif" w:hAnsi="Libre Franklin;sans-serif"/>
          <w:color w:val="000000"/>
        </w:rPr>
        <w:t>Desde CEAQUA seguimos interpelando a los Jueces y Magistrados españoles para que investiguen y enjuicien los crímenes del franquismo poniendo fin a la política de impunidad que han mantenido hasta la fecha y aplicando el Derecho Internacional de los Derechos Humanos y el Derecho Penal Internacional. </w:t>
      </w:r>
    </w:p>
    <w:p w14:paraId="23C51EB5" w14:textId="77777777" w:rsidR="003B1B16" w:rsidRDefault="003B1B16">
      <w:pPr>
        <w:pStyle w:val="Textoindependiente"/>
        <w:rPr>
          <w:rFonts w:hint="eastAsia"/>
        </w:rPr>
      </w:pPr>
    </w:p>
    <w:p w14:paraId="5C37C5D1" w14:textId="77777777" w:rsidR="003B1B16" w:rsidRDefault="00881F84">
      <w:pPr>
        <w:pStyle w:val="Textoindependiente"/>
        <w:spacing w:after="0" w:line="331" w:lineRule="auto"/>
        <w:jc w:val="both"/>
        <w:rPr>
          <w:rFonts w:ascii="Libre Franklin;sans-serif" w:hAnsi="Libre Franklin;sans-serif" w:hint="eastAsia"/>
          <w:color w:val="000000"/>
        </w:rPr>
      </w:pPr>
      <w:r>
        <w:rPr>
          <w:rFonts w:ascii="Libre Franklin;sans-serif" w:hAnsi="Libre Franklin;sans-serif"/>
          <w:color w:val="000000"/>
        </w:rPr>
        <w:t>El seguir manteniendo políticas de impunidad que impiden la investigación de los crímenes franquistas resulta incompatible con un Estado de Derecho. </w:t>
      </w:r>
    </w:p>
    <w:p w14:paraId="62ACC860" w14:textId="77777777" w:rsidR="003B1B16" w:rsidRDefault="003B1B16">
      <w:pPr>
        <w:pStyle w:val="Textoindependiente"/>
        <w:rPr>
          <w:rFonts w:hint="eastAsia"/>
        </w:rPr>
      </w:pPr>
    </w:p>
    <w:p w14:paraId="765A316E" w14:textId="079A4A2F" w:rsidR="00B052F6" w:rsidRDefault="004C46F1">
      <w:pPr>
        <w:pStyle w:val="Textoindependiente"/>
      </w:pPr>
      <w:r>
        <w:t>23 de febrero de 2024</w:t>
      </w:r>
    </w:p>
    <w:p w14:paraId="4BA94431" w14:textId="77777777" w:rsidR="004C46F1" w:rsidRDefault="004C46F1">
      <w:pPr>
        <w:pStyle w:val="Textoindependiente"/>
        <w:rPr>
          <w:rFonts w:hint="eastAsia"/>
        </w:rPr>
      </w:pPr>
    </w:p>
    <w:p w14:paraId="199008D5" w14:textId="658A49A0" w:rsidR="003B1B16" w:rsidRPr="00B052F6" w:rsidRDefault="00881F84">
      <w:pPr>
        <w:pStyle w:val="Textoindependiente"/>
        <w:spacing w:after="0" w:line="331" w:lineRule="auto"/>
        <w:jc w:val="both"/>
        <w:rPr>
          <w:rFonts w:ascii="Libre Franklin;sans-serif" w:hAnsi="Libre Franklin;sans-serif" w:hint="eastAsia"/>
          <w:bCs/>
          <w:color w:val="000000"/>
        </w:rPr>
      </w:pPr>
      <w:r w:rsidRPr="00B052F6">
        <w:rPr>
          <w:rFonts w:ascii="Libre Franklin;sans-serif" w:hAnsi="Libre Franklin;sans-serif"/>
          <w:bCs/>
          <w:color w:val="000000"/>
        </w:rPr>
        <w:t>CONTACTO PRENSA</w:t>
      </w:r>
      <w:r w:rsidR="00B052F6" w:rsidRPr="00B052F6">
        <w:rPr>
          <w:rFonts w:ascii="Libre Franklin;sans-serif" w:hAnsi="Libre Franklin;sans-serif"/>
          <w:bCs/>
          <w:color w:val="000000"/>
        </w:rPr>
        <w:t>. Paloma García Varela 615365081</w:t>
      </w:r>
    </w:p>
    <w:p w14:paraId="45AF93D1" w14:textId="77777777" w:rsidR="003B1B16" w:rsidRDefault="00881F84">
      <w:pPr>
        <w:pStyle w:val="Textoindependiente"/>
        <w:rPr>
          <w:rFonts w:hint="eastAsia"/>
        </w:rPr>
      </w:pPr>
      <w:r>
        <w:br/>
      </w:r>
    </w:p>
    <w:sectPr w:rsidR="003B1B16">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0"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EB65F" w14:textId="77777777" w:rsidR="000B221B" w:rsidRDefault="000B221B" w:rsidP="00356911">
      <w:pPr>
        <w:rPr>
          <w:rFonts w:hint="eastAsia"/>
        </w:rPr>
      </w:pPr>
      <w:r>
        <w:separator/>
      </w:r>
    </w:p>
  </w:endnote>
  <w:endnote w:type="continuationSeparator" w:id="0">
    <w:p w14:paraId="66F0D41A" w14:textId="77777777" w:rsidR="000B221B" w:rsidRDefault="000B221B" w:rsidP="0035691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ibre Franklin;sans-serif">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8BE21" w14:textId="77777777" w:rsidR="00356911" w:rsidRDefault="00356911">
    <w:pPr>
      <w:pStyle w:val="Piedepgina"/>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2EF75" w14:textId="77777777" w:rsidR="00356911" w:rsidRDefault="00356911">
    <w:pPr>
      <w:pStyle w:val="Piedepgina"/>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E1DC8" w14:textId="77777777" w:rsidR="00356911" w:rsidRDefault="00356911">
    <w:pPr>
      <w:pStyle w:val="Piedepgina"/>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837ADE" w14:textId="77777777" w:rsidR="000B221B" w:rsidRDefault="000B221B" w:rsidP="00356911">
      <w:pPr>
        <w:rPr>
          <w:rFonts w:hint="eastAsia"/>
        </w:rPr>
      </w:pPr>
      <w:r>
        <w:separator/>
      </w:r>
    </w:p>
  </w:footnote>
  <w:footnote w:type="continuationSeparator" w:id="0">
    <w:p w14:paraId="351AA5B1" w14:textId="77777777" w:rsidR="000B221B" w:rsidRDefault="000B221B" w:rsidP="0035691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ACD06" w14:textId="22D46C79" w:rsidR="00356911" w:rsidRDefault="00356911">
    <w:pPr>
      <w:pStyle w:val="Encabezado"/>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09148" w14:textId="4A521E05" w:rsidR="00356911" w:rsidRDefault="00356911">
    <w:pPr>
      <w:pStyle w:val="Encabezado"/>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4724B" w14:textId="5A7703AA" w:rsidR="00356911" w:rsidRDefault="00356911">
    <w:pPr>
      <w:pStyle w:val="Encabezado"/>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B16"/>
    <w:rsid w:val="000B221B"/>
    <w:rsid w:val="00356911"/>
    <w:rsid w:val="003B1B16"/>
    <w:rsid w:val="004C46F1"/>
    <w:rsid w:val="0087528C"/>
    <w:rsid w:val="00881C0E"/>
    <w:rsid w:val="00881F84"/>
    <w:rsid w:val="00B052F6"/>
    <w:rsid w:val="00C0590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09291A"/>
  <w15:docId w15:val="{4CE453FA-B31E-4F09-BA35-B941BE26D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kern w:val="2"/>
        <w:sz w:val="24"/>
        <w:szCs w:val="24"/>
        <w:lang w:val="es-E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Textoindependiente"/>
    <w:uiPriority w:val="10"/>
    <w:qFormat/>
    <w:pPr>
      <w:keepNext/>
      <w:spacing w:before="240" w:after="120"/>
    </w:pPr>
    <w:rPr>
      <w:rFonts w:ascii="Liberation Sans" w:eastAsia="Microsoft YaHei" w:hAnsi="Liberation Sans"/>
      <w:sz w:val="28"/>
      <w:szCs w:val="28"/>
    </w:rPr>
  </w:style>
  <w:style w:type="paragraph" w:styleId="Textoindependiente">
    <w:name w:val="Body Text"/>
    <w:basedOn w:val="Normal"/>
    <w:pPr>
      <w:spacing w:after="140" w:line="276" w:lineRule="auto"/>
    </w:pPr>
  </w:style>
  <w:style w:type="paragraph" w:styleId="Lista">
    <w:name w:val="List"/>
    <w:basedOn w:val="Textoindependiente"/>
  </w:style>
  <w:style w:type="paragraph" w:styleId="Descripci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styleId="Encabezado">
    <w:name w:val="header"/>
    <w:basedOn w:val="Normal"/>
    <w:link w:val="EncabezadoCar"/>
    <w:uiPriority w:val="99"/>
    <w:unhideWhenUsed/>
    <w:rsid w:val="00356911"/>
    <w:pPr>
      <w:tabs>
        <w:tab w:val="center" w:pos="4252"/>
        <w:tab w:val="right" w:pos="8504"/>
      </w:tabs>
    </w:pPr>
    <w:rPr>
      <w:rFonts w:cs="Mangal"/>
      <w:szCs w:val="21"/>
    </w:rPr>
  </w:style>
  <w:style w:type="character" w:customStyle="1" w:styleId="EncabezadoCar">
    <w:name w:val="Encabezado Car"/>
    <w:basedOn w:val="Fuentedeprrafopredeter"/>
    <w:link w:val="Encabezado"/>
    <w:uiPriority w:val="99"/>
    <w:rsid w:val="00356911"/>
    <w:rPr>
      <w:rFonts w:cs="Mangal"/>
      <w:szCs w:val="21"/>
    </w:rPr>
  </w:style>
  <w:style w:type="paragraph" w:styleId="Piedepgina">
    <w:name w:val="footer"/>
    <w:basedOn w:val="Normal"/>
    <w:link w:val="PiedepginaCar"/>
    <w:uiPriority w:val="99"/>
    <w:unhideWhenUsed/>
    <w:rsid w:val="00356911"/>
    <w:pPr>
      <w:tabs>
        <w:tab w:val="center" w:pos="4252"/>
        <w:tab w:val="right" w:pos="8504"/>
      </w:tabs>
    </w:pPr>
    <w:rPr>
      <w:rFonts w:cs="Mangal"/>
      <w:szCs w:val="21"/>
    </w:rPr>
  </w:style>
  <w:style w:type="character" w:customStyle="1" w:styleId="PiedepginaCar">
    <w:name w:val="Pie de página Car"/>
    <w:basedOn w:val="Fuentedeprrafopredeter"/>
    <w:link w:val="Piedepgina"/>
    <w:uiPriority w:val="99"/>
    <w:rsid w:val="00356911"/>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564</Words>
  <Characters>3106</Characters>
  <Application>Microsoft Office Word</Application>
  <DocSecurity>0</DocSecurity>
  <Lines>25</Lines>
  <Paragraphs>7</Paragraphs>
  <ScaleCrop>false</ScaleCrop>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dc:creator>
  <dc:description/>
  <cp:lastModifiedBy>Office 2</cp:lastModifiedBy>
  <cp:revision>6</cp:revision>
  <dcterms:created xsi:type="dcterms:W3CDTF">2024-02-20T16:19:00Z</dcterms:created>
  <dcterms:modified xsi:type="dcterms:W3CDTF">2024-02-22T07:08:00Z</dcterms:modified>
  <dc:language>es-ES</dc:language>
</cp:coreProperties>
</file>